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Soil Samples (LAB #1)</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3"/>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3"/>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5"/>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6.E.2.4 Conclude that the good health of humans requires: monitoring the lithosphere, maintaining soil quality and stewardship.</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soil layers through observation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observations through writing</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refine their definitions of each soil layer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keepNext w:val="0"/>
              <w:keepLines w:val="0"/>
              <w:widowControl w:val="1"/>
              <w:numPr>
                <w:ilvl w:val="0"/>
                <w:numId w:val="2"/>
              </w:numPr>
              <w:spacing w:after="120" w:before="120" w:line="240" w:lineRule="auto"/>
              <w:ind w:left="72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rtl w:val="0"/>
              </w:rPr>
              <w:t xml:space="preserve">Place cups and spoons out on tables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Small plastic/paper cup OR plastic bag(1/student)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Spoon, preferably metal (1/student)</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“Materials Needed” section) and their definitions.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Locate as dry a spot as possible for soil collection in your area. If you do not have a spot to take students, you will need to collect enough soil for the experiments in the class. You may choose to purchase the soil, or manually gather it yourself from a specified location.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THIS FIRST PART ONLY APPLIES IF YOU ARE HAVING STUDENTS COLLECT SOIL SAMPLES</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take a spoon and a cup/plastic bag to collect their materials in.</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Once outside, explain to the students that they need to dig their spoons into the ground approximately 6” deep.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them collect enough soil to fill up half of their small plastic cup or bag.</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i w:val="1"/>
                <w:rtl w:val="0"/>
              </w:rPr>
              <w:t xml:space="preserve">BEGIN HERE IF STUDENTS DO NOT COLLECT SOIL ON CAMPUS</w:t>
            </w:r>
            <w:r w:rsidDel="00000000" w:rsidR="00000000" w:rsidRPr="00000000">
              <w:rPr>
                <w:rtl w:val="0"/>
              </w:rPr>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When back in the class, instruct students that they need to be modest with their samples at each station. Since they have a limited amount, they don’t want to use it all up before visiting each station.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#1: Phosphorous Sampling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#2: Nitrogen Sampling</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#3: Potash Sampling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#4: Soil Labeling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Station #5: pH Sampling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1"/>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Since you are allowing 15-20 minutes to pass in between the setup and the observation, this allocates time for you to go over your lesson and introduce further the concept of sand, silt, and clay. Upon returning to the containers after time has allowed the sediment to settle, you can make an immediate assessment based on student observation and inferencing.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4"/>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Sand </w:t>
            </w:r>
          </w:p>
          <w:p w:rsidR="00000000" w:rsidDel="00000000" w:rsidP="00000000" w:rsidRDefault="00000000" w:rsidRPr="00000000">
            <w:pPr>
              <w:numPr>
                <w:ilvl w:val="0"/>
                <w:numId w:val="4"/>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Silt</w:t>
            </w:r>
          </w:p>
          <w:p w:rsidR="00000000" w:rsidDel="00000000" w:rsidP="00000000" w:rsidRDefault="00000000" w:rsidRPr="00000000">
            <w:pPr>
              <w:numPr>
                <w:ilvl w:val="0"/>
                <w:numId w:val="4"/>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Clay </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8"/>
        <w:gridCol w:w="7822"/>
        <w:tblGridChange w:id="0">
          <w:tblGrid>
            <w:gridCol w:w="1528"/>
            <w:gridCol w:w="7822"/>
          </w:tblGrid>
        </w:tblGridChange>
      </w:tblGrid>
      <w:tr>
        <w:trPr>
          <w:trHeight w:val="26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8"/>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